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0D" w:rsidRDefault="00D7638B">
      <w:pPr>
        <w:spacing w:line="560" w:lineRule="exact"/>
        <w:ind w:firstLineChars="200" w:firstLine="720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富海集团有限公司校园招聘简章</w:t>
      </w:r>
    </w:p>
    <w:p w:rsidR="00CA390D" w:rsidRDefault="00CA390D">
      <w:pPr>
        <w:spacing w:line="300" w:lineRule="exact"/>
        <w:ind w:firstLineChars="200" w:firstLine="720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CA390D" w:rsidRDefault="00D7638B">
      <w:pPr>
        <w:spacing w:line="560" w:lineRule="exact"/>
        <w:ind w:firstLineChars="200" w:firstLine="60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一、集团简介</w:t>
      </w:r>
    </w:p>
    <w:p w:rsidR="00CA390D" w:rsidRDefault="00D7638B">
      <w:pPr>
        <w:topLinePunct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富海集团有限公司成立于</w:t>
      </w:r>
      <w:r>
        <w:rPr>
          <w:rFonts w:ascii="仿宋_GB2312" w:eastAsia="仿宋_GB2312" w:hAnsi="宋体" w:hint="eastAsia"/>
          <w:sz w:val="30"/>
          <w:szCs w:val="30"/>
        </w:rPr>
        <w:t>1998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18</w:t>
      </w:r>
      <w:r>
        <w:rPr>
          <w:rFonts w:ascii="仿宋_GB2312" w:eastAsia="仿宋_GB2312" w:hAnsi="宋体" w:hint="eastAsia"/>
          <w:sz w:val="30"/>
          <w:szCs w:val="30"/>
        </w:rPr>
        <w:t>日，</w:t>
      </w:r>
      <w:r>
        <w:rPr>
          <w:rFonts w:ascii="仿宋_GB2312" w:eastAsia="仿宋_GB2312" w:hint="eastAsia"/>
          <w:sz w:val="30"/>
          <w:szCs w:val="30"/>
        </w:rPr>
        <w:t>注册资本金</w:t>
      </w:r>
      <w:r>
        <w:rPr>
          <w:rFonts w:ascii="仿宋_GB2312" w:eastAsia="仿宋_GB2312" w:hAnsi="宋体" w:hint="eastAsia"/>
          <w:kern w:val="0"/>
          <w:sz w:val="30"/>
          <w:szCs w:val="30"/>
        </w:rPr>
        <w:t>5.201</w:t>
      </w:r>
      <w:r>
        <w:rPr>
          <w:rFonts w:ascii="仿宋_GB2312" w:eastAsia="仿宋_GB2312" w:hAnsi="宋体" w:hint="eastAsia"/>
          <w:kern w:val="0"/>
          <w:sz w:val="30"/>
          <w:szCs w:val="30"/>
        </w:rPr>
        <w:t>亿元，</w:t>
      </w:r>
      <w:r>
        <w:rPr>
          <w:rFonts w:ascii="仿宋_GB2312" w:eastAsia="仿宋_GB2312" w:hAnsi="宋体" w:hint="eastAsia"/>
          <w:sz w:val="30"/>
          <w:szCs w:val="30"/>
        </w:rPr>
        <w:t>总部</w:t>
      </w:r>
      <w:r>
        <w:rPr>
          <w:rFonts w:ascii="仿宋_GB2312" w:eastAsia="仿宋_GB2312" w:hint="eastAsia"/>
          <w:sz w:val="30"/>
          <w:szCs w:val="30"/>
        </w:rPr>
        <w:t>位于美丽富饶的中国黄河三角洲，是一家集</w:t>
      </w:r>
      <w:r>
        <w:rPr>
          <w:rFonts w:ascii="仿宋_GB2312" w:eastAsia="仿宋_GB2312" w:hAnsi="宋体" w:hint="eastAsia"/>
          <w:sz w:val="30"/>
          <w:szCs w:val="30"/>
        </w:rPr>
        <w:t>石油化工、煤化工、房地产开发、物流运输、物业管理、新能源开发、产品连锁营销于一体的综合性民营企业。集团自成立以来，先后荣获“东营市十佳民营企业”、“东营市十佳青年民营企业”、“东营市劳动关系和谐企业”、“首届东营市功勋企业”、“东营市五一劳动奖状”、“山东省工商系统诚信纳税企业”、“山东省富民兴鲁奖状”、“山东省企业</w:t>
      </w:r>
      <w:r>
        <w:rPr>
          <w:rFonts w:ascii="仿宋_GB2312" w:eastAsia="仿宋_GB2312" w:hAnsi="宋体" w:hint="eastAsia"/>
          <w:sz w:val="30"/>
          <w:szCs w:val="30"/>
        </w:rPr>
        <w:t>100</w:t>
      </w:r>
      <w:r>
        <w:rPr>
          <w:rFonts w:ascii="仿宋_GB2312" w:eastAsia="仿宋_GB2312" w:hAnsi="宋体" w:hint="eastAsia"/>
          <w:sz w:val="30"/>
          <w:szCs w:val="30"/>
        </w:rPr>
        <w:t>强”、“中国优秀企业”、“中国民营制造业</w:t>
      </w:r>
      <w:r>
        <w:rPr>
          <w:rFonts w:ascii="仿宋_GB2312" w:eastAsia="仿宋_GB2312" w:hAnsi="宋体" w:hint="eastAsia"/>
          <w:sz w:val="30"/>
          <w:szCs w:val="30"/>
        </w:rPr>
        <w:t>500</w:t>
      </w:r>
      <w:r>
        <w:rPr>
          <w:rFonts w:ascii="仿宋_GB2312" w:eastAsia="仿宋_GB2312" w:hAnsi="宋体" w:hint="eastAsia"/>
          <w:sz w:val="30"/>
          <w:szCs w:val="30"/>
        </w:rPr>
        <w:t>强”、“中国民营企业</w:t>
      </w:r>
      <w:r>
        <w:rPr>
          <w:rFonts w:ascii="仿宋_GB2312" w:eastAsia="仿宋_GB2312" w:hAnsi="宋体" w:hint="eastAsia"/>
          <w:sz w:val="30"/>
          <w:szCs w:val="30"/>
        </w:rPr>
        <w:t>500</w:t>
      </w:r>
      <w:r>
        <w:rPr>
          <w:rFonts w:ascii="仿宋_GB2312" w:eastAsia="仿宋_GB2312" w:hAnsi="宋体" w:hint="eastAsia"/>
          <w:sz w:val="30"/>
          <w:szCs w:val="30"/>
        </w:rPr>
        <w:t>强”、国家级“守合同重信用企业”、“中国企业</w:t>
      </w:r>
      <w:r>
        <w:rPr>
          <w:rFonts w:ascii="仿宋_GB2312" w:eastAsia="仿宋_GB2312" w:hAnsi="宋体" w:hint="eastAsia"/>
          <w:sz w:val="30"/>
          <w:szCs w:val="30"/>
        </w:rPr>
        <w:t>500</w:t>
      </w:r>
      <w:r>
        <w:rPr>
          <w:rFonts w:ascii="仿宋_GB2312" w:eastAsia="仿宋_GB2312" w:hAnsi="宋体" w:hint="eastAsia"/>
          <w:sz w:val="30"/>
          <w:szCs w:val="30"/>
        </w:rPr>
        <w:t>强”等荣誉称号，并拥有中国商务部核准赋予的成品油批发经营资质及燃料</w:t>
      </w:r>
      <w:r>
        <w:rPr>
          <w:rFonts w:ascii="仿宋_GB2312" w:eastAsia="仿宋_GB2312" w:hAnsi="宋体" w:hint="eastAsia"/>
          <w:sz w:val="30"/>
          <w:szCs w:val="30"/>
        </w:rPr>
        <w:t>油进口配额。</w:t>
      </w:r>
    </w:p>
    <w:p w:rsidR="00CA390D" w:rsidRDefault="00D7638B">
      <w:pPr>
        <w:topLinePunct/>
        <w:spacing w:line="560" w:lineRule="exact"/>
        <w:ind w:firstLineChars="200" w:firstLine="60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富海集团始终秉承“每天超越自我，时刻追求卓越”的企业理念，不断做</w:t>
      </w:r>
      <w:proofErr w:type="gramStart"/>
      <w:r>
        <w:rPr>
          <w:rFonts w:ascii="仿宋_GB2312" w:eastAsia="仿宋_GB2312" w:hint="eastAsia"/>
          <w:sz w:val="30"/>
          <w:szCs w:val="30"/>
        </w:rPr>
        <w:t>强做</w:t>
      </w:r>
      <w:proofErr w:type="gramEnd"/>
      <w:r>
        <w:rPr>
          <w:rFonts w:ascii="仿宋_GB2312" w:eastAsia="仿宋_GB2312" w:hint="eastAsia"/>
          <w:sz w:val="30"/>
          <w:szCs w:val="30"/>
        </w:rPr>
        <w:t>大，</w:t>
      </w:r>
      <w:r>
        <w:rPr>
          <w:rFonts w:ascii="仿宋_GB2312" w:eastAsia="仿宋_GB2312" w:hAnsi="宋体" w:hint="eastAsia"/>
          <w:kern w:val="0"/>
          <w:sz w:val="30"/>
          <w:szCs w:val="30"/>
        </w:rPr>
        <w:t>下辖东营华联石油化工厂有限公司、东营联合石化有限责任公司、富海能源服务连锁有限公司、</w:t>
      </w:r>
      <w:proofErr w:type="gramStart"/>
      <w:r>
        <w:rPr>
          <w:rFonts w:ascii="仿宋_GB2312" w:eastAsia="仿宋_GB2312" w:hAnsi="宋体" w:hint="eastAsia"/>
          <w:kern w:val="0"/>
          <w:sz w:val="30"/>
          <w:szCs w:val="30"/>
        </w:rPr>
        <w:t>菏</w:t>
      </w:r>
      <w:proofErr w:type="gramEnd"/>
      <w:r>
        <w:rPr>
          <w:rFonts w:ascii="仿宋_GB2312" w:eastAsia="仿宋_GB2312" w:hAnsi="宋体" w:hint="eastAsia"/>
          <w:kern w:val="0"/>
          <w:sz w:val="30"/>
          <w:szCs w:val="30"/>
        </w:rPr>
        <w:t>泽富海能源发展有限公司、东营富海房地产开发有限公司、东营富海物流有限公司、东营富海物业管理有限公司</w:t>
      </w:r>
      <w:r>
        <w:rPr>
          <w:rFonts w:ascii="仿宋_GB2312" w:eastAsia="仿宋_GB2312" w:hAnsi="华文中宋" w:hint="eastAsia"/>
          <w:sz w:val="30"/>
          <w:szCs w:val="30"/>
        </w:rPr>
        <w:t>等</w:t>
      </w:r>
      <w:r>
        <w:rPr>
          <w:rFonts w:ascii="仿宋_GB2312" w:eastAsia="仿宋_GB2312" w:hAnsi="宋体" w:hint="eastAsia"/>
          <w:kern w:val="0"/>
          <w:sz w:val="30"/>
          <w:szCs w:val="30"/>
        </w:rPr>
        <w:t>几十家公司，旗下多家公司通过</w:t>
      </w:r>
      <w:r>
        <w:rPr>
          <w:rFonts w:ascii="仿宋_GB2312" w:eastAsia="仿宋_GB2312" w:hAnsi="宋体" w:hint="eastAsia"/>
          <w:kern w:val="0"/>
          <w:sz w:val="30"/>
          <w:szCs w:val="30"/>
        </w:rPr>
        <w:t>ISO9001</w:t>
      </w:r>
      <w:r>
        <w:rPr>
          <w:rFonts w:ascii="仿宋_GB2312" w:eastAsia="仿宋_GB2312" w:hAnsi="宋体" w:hint="eastAsia"/>
          <w:kern w:val="0"/>
          <w:sz w:val="30"/>
          <w:szCs w:val="30"/>
        </w:rPr>
        <w:t>国际质量体系认证及</w:t>
      </w:r>
      <w:r>
        <w:rPr>
          <w:rFonts w:ascii="仿宋_GB2312" w:eastAsia="仿宋_GB2312" w:hAnsi="宋体" w:hint="eastAsia"/>
          <w:kern w:val="0"/>
          <w:sz w:val="30"/>
          <w:szCs w:val="30"/>
        </w:rPr>
        <w:t>ISO14000</w:t>
      </w:r>
      <w:r>
        <w:rPr>
          <w:rFonts w:ascii="仿宋_GB2312" w:eastAsia="仿宋_GB2312" w:hAnsi="宋体" w:hint="eastAsia"/>
          <w:kern w:val="0"/>
          <w:sz w:val="30"/>
          <w:szCs w:val="30"/>
        </w:rPr>
        <w:t>国际环境管理体系认证。</w:t>
      </w:r>
    </w:p>
    <w:p w:rsidR="00CA390D" w:rsidRDefault="00D7638B">
      <w:pPr>
        <w:topLinePunct/>
        <w:spacing w:line="560" w:lineRule="exact"/>
        <w:ind w:firstLineChars="200" w:firstLine="60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/>
          <w:kern w:val="0"/>
          <w:sz w:val="30"/>
          <w:szCs w:val="30"/>
        </w:rPr>
        <w:t>面对经济全球化的潮流，</w:t>
      </w:r>
      <w:r>
        <w:rPr>
          <w:rFonts w:ascii="仿宋_GB2312" w:eastAsia="仿宋_GB2312" w:hAnsi="宋体" w:hint="eastAsia"/>
          <w:kern w:val="0"/>
          <w:sz w:val="30"/>
          <w:szCs w:val="30"/>
        </w:rPr>
        <w:t>富海集团利用自身优势，在石油炼化、新能源开发等方面寻求突破，打造千万吨级的炼化基地和完整的产业</w:t>
      </w:r>
      <w:r>
        <w:rPr>
          <w:rFonts w:ascii="仿宋_GB2312" w:eastAsia="仿宋_GB2312" w:hAnsi="宋体" w:hint="eastAsia"/>
          <w:kern w:val="0"/>
          <w:sz w:val="30"/>
          <w:szCs w:val="30"/>
        </w:rPr>
        <w:lastRenderedPageBreak/>
        <w:t>链条，积极寻找优良合作伙</w:t>
      </w:r>
      <w:r>
        <w:rPr>
          <w:rFonts w:ascii="仿宋_GB2312" w:eastAsia="仿宋_GB2312" w:hAnsi="宋体" w:hint="eastAsia"/>
          <w:kern w:val="0"/>
          <w:sz w:val="30"/>
          <w:szCs w:val="30"/>
        </w:rPr>
        <w:t>伴，大力开拓国内外市场，业务网络覆盖北京、天津、山东、内蒙古、江苏、浙江、四川、香港等中国大部分地区以及新加坡等东南亚国家和地区。</w:t>
      </w:r>
    </w:p>
    <w:p w:rsidR="00CA390D" w:rsidRDefault="00D7638B">
      <w:pPr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富海集团在“诚信、创新、团队、奉献”企业精神引领下，以发展壮大经济实力、优化创新企业管理为目标，以市场需求为导向，抓机遇，求发展，锐意进取，不断拓展经营领域，强化精细管理，拉长产业链条，扩大服务范围，以质量求生存，以信誉求发展。加强科技创新，优化产业资源，提升服务水平，加速产业升级，构建以石油化工为主产业，以煤化工、连锁营销、地产开发、物流运输等板块为重要组成的</w:t>
      </w:r>
      <w:r>
        <w:rPr>
          <w:rFonts w:ascii="仿宋_GB2312" w:eastAsia="仿宋_GB2312" w:hAnsi="宋体"/>
          <w:kern w:val="0"/>
          <w:sz w:val="30"/>
          <w:szCs w:val="30"/>
        </w:rPr>
        <w:t>多元</w:t>
      </w:r>
      <w:r>
        <w:rPr>
          <w:rFonts w:ascii="仿宋_GB2312" w:eastAsia="仿宋_GB2312" w:hAnsi="宋体" w:hint="eastAsia"/>
          <w:kern w:val="0"/>
          <w:sz w:val="30"/>
          <w:szCs w:val="30"/>
        </w:rPr>
        <w:t>化</w:t>
      </w:r>
      <w:r>
        <w:rPr>
          <w:rFonts w:ascii="仿宋_GB2312" w:eastAsia="仿宋_GB2312" w:hAnsi="宋体"/>
          <w:kern w:val="0"/>
          <w:sz w:val="30"/>
          <w:szCs w:val="30"/>
        </w:rPr>
        <w:t>产业</w:t>
      </w:r>
      <w:r>
        <w:rPr>
          <w:rFonts w:ascii="仿宋_GB2312" w:eastAsia="仿宋_GB2312" w:hAnsi="宋体" w:hint="eastAsia"/>
          <w:kern w:val="0"/>
          <w:sz w:val="30"/>
          <w:szCs w:val="30"/>
        </w:rPr>
        <w:t>布局。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富海人肩负“为社会创造财富、为股东创造价值、与员工共同成长、与客户携手共赢”的企业使命，坚持“以人为本”的核心价值观，全面推进科技兴企、</w:t>
      </w:r>
      <w:proofErr w:type="gramStart"/>
      <w:r>
        <w:rPr>
          <w:rFonts w:ascii="仿宋_GB2312" w:eastAsia="仿宋_GB2312" w:hAnsi="宋体" w:hint="eastAsia"/>
          <w:kern w:val="0"/>
          <w:sz w:val="30"/>
          <w:szCs w:val="30"/>
        </w:rPr>
        <w:t>人才强企战略</w:t>
      </w:r>
      <w:proofErr w:type="gramEnd"/>
      <w:r>
        <w:rPr>
          <w:rFonts w:ascii="仿宋_GB2312" w:eastAsia="仿宋_GB2312" w:hAnsi="宋体" w:hint="eastAsia"/>
          <w:kern w:val="0"/>
          <w:sz w:val="30"/>
          <w:szCs w:val="30"/>
        </w:rPr>
        <w:t>，努力推动集团持续、快速、健康发展，从而实现“优化资源、造福人类”的企业愿景。</w:t>
      </w:r>
    </w:p>
    <w:p w:rsidR="00CA390D" w:rsidRDefault="00D7638B">
      <w:pPr>
        <w:spacing w:line="560" w:lineRule="exact"/>
        <w:ind w:firstLineChars="200" w:firstLine="60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二、招聘岗位</w:t>
      </w:r>
    </w:p>
    <w:tbl>
      <w:tblPr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452"/>
        <w:gridCol w:w="1276"/>
        <w:gridCol w:w="4082"/>
        <w:gridCol w:w="646"/>
      </w:tblGrid>
      <w:tr w:rsidR="00CA390D">
        <w:trPr>
          <w:trHeight w:val="4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CA390D">
        <w:trPr>
          <w:trHeight w:val="6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工艺操作类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 w:rsidR="00D763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化学工程与工艺、石油化工与技术、化学、应用化学、高分子材料与化学、工业工程、轻化工程等相关专业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CA390D">
        <w:trPr>
          <w:trHeight w:val="58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油品化验类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化学工程与工艺、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工业分析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、化学、应用化学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390D">
        <w:trPr>
          <w:trHeight w:val="58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油气储运类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油气储运、环境工程、安全工程等相关专业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A390D">
        <w:trPr>
          <w:trHeight w:val="6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机械设备类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过程装备与控制工程、机械设计制造及其自动化、热能与动力工程、轮机工程等相关专业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A390D">
        <w:trPr>
          <w:trHeight w:val="4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电气仪表类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自动化、电气工程及其自动化、测控技术与仪器、机电一体化等相关专业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A390D">
        <w:trPr>
          <w:trHeight w:val="48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工程管理、工程造价、土木工程、工程建筑类相关专业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A390D">
        <w:trPr>
          <w:trHeight w:val="48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市场营销、国际经济与贸易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视觉传达设计、广告学、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电子商务等相关专业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90D">
        <w:trPr>
          <w:trHeight w:val="6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财会金融类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会计学、财务管理、审计学、财政学、金融学等相关专业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A390D">
        <w:trPr>
          <w:trHeight w:val="44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物流管理、工商管理类相关专业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A390D">
        <w:trPr>
          <w:trHeight w:val="5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软件工程、网络工程、计算机科学与技术等相关专业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A390D">
        <w:trPr>
          <w:trHeight w:val="5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汉语言文学、秘书学等相关专业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A390D">
        <w:trPr>
          <w:trHeight w:val="6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E312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0D" w:rsidRDefault="00D763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人力资源管理、工商管理、公共事业管理、劳动和社会保障等相关专业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D" w:rsidRDefault="00D763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CA390D" w:rsidRDefault="00D7638B">
      <w:pPr>
        <w:spacing w:line="560" w:lineRule="exact"/>
        <w:ind w:firstLineChars="200" w:firstLine="60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三、薪酬福利</w:t>
      </w:r>
    </w:p>
    <w:p w:rsidR="00CA390D" w:rsidRDefault="00D7638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（一）岗位薪酬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试用期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个月，入职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个月内签订劳动合同。集团执行岗位能力鉴定薪资体系，根据员工岗位能力及历练时间确定其薪酬，当员工满足岗位能力鉴定标准时可以申请更高档位薪酬。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试用期工资（含五险）：大专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3620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元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月，本科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4020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元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月，研究生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4620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元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月。转正后工资情况如下：</w:t>
      </w:r>
    </w:p>
    <w:tbl>
      <w:tblPr>
        <w:tblpPr w:leftFromText="180" w:rightFromText="180" w:vertAnchor="text" w:horzAnchor="page" w:tblpXSpec="center" w:tblpY="141"/>
        <w:tblOverlap w:val="never"/>
        <w:tblW w:w="9490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127"/>
        <w:gridCol w:w="1842"/>
        <w:gridCol w:w="1843"/>
        <w:gridCol w:w="1962"/>
      </w:tblGrid>
      <w:tr w:rsidR="00CA390D">
        <w:trPr>
          <w:trHeight w:val="411"/>
          <w:tblCellSpacing w:w="0" w:type="dxa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jc w:val="center"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公司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jc w:val="center"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各公司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月工资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备注</w:t>
            </w:r>
          </w:p>
        </w:tc>
      </w:tr>
      <w:tr w:rsidR="00CA390D">
        <w:trPr>
          <w:trHeight w:val="403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CA390D" w:rsidRDefault="00CA390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生产装置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辅助装置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后勤类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根据公司效益发放年底双薪。</w:t>
            </w:r>
          </w:p>
        </w:tc>
      </w:tr>
      <w:tr w:rsidR="00CA390D">
        <w:trPr>
          <w:trHeight w:val="539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联合石化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59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00-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73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00-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65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46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00-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63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:rsidR="00CA390D" w:rsidRDefault="00CA390D">
            <w:pPr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CA390D">
        <w:trPr>
          <w:trHeight w:val="492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华联石化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52</w:t>
            </w:r>
            <w:r>
              <w:rPr>
                <w:rFonts w:ascii="仿宋" w:eastAsia="仿宋" w:hAnsi="仿宋" w:cs="仿宋"/>
                <w:bCs/>
                <w:color w:val="000000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66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42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00-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580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00-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56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:rsidR="00CA390D" w:rsidRDefault="00CA390D">
            <w:pPr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CA390D">
        <w:trPr>
          <w:trHeight w:val="583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东营其他公司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390D" w:rsidRDefault="00D7638B">
            <w:pPr>
              <w:pStyle w:val="a5"/>
              <w:widowControl/>
              <w:rPr>
                <w:rFonts w:ascii="仿宋" w:eastAsia="仿宋" w:hAnsi="仿宋" w:cs="仿宋"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00-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56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:rsidR="00CA390D" w:rsidRDefault="00CA390D">
            <w:pPr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</w:tbl>
    <w:p w:rsidR="00CA390D" w:rsidRDefault="00D7638B"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（二）在岗补贴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公司重视员工的贡献和付出，根据员工个人情况及具体岗位为符合条件的员工发放学历、工龄、通讯费、高温补贴等补贴。</w:t>
      </w:r>
    </w:p>
    <w:p w:rsidR="00CA390D" w:rsidRDefault="00D7638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本科</w:t>
      </w:r>
      <w:r>
        <w:rPr>
          <w:rFonts w:ascii="仿宋" w:eastAsia="仿宋" w:hAnsi="仿宋" w:cs="仿宋" w:hint="eastAsia"/>
          <w:sz w:val="30"/>
          <w:szCs w:val="30"/>
        </w:rPr>
        <w:t>100-300</w:t>
      </w:r>
      <w:r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月，研究生</w:t>
      </w:r>
      <w:r>
        <w:rPr>
          <w:rFonts w:ascii="仿宋" w:eastAsia="仿宋" w:hAnsi="仿宋" w:cs="仿宋" w:hint="eastAsia"/>
          <w:sz w:val="30"/>
          <w:szCs w:val="30"/>
        </w:rPr>
        <w:t>100-800</w:t>
      </w:r>
      <w:r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月，博士</w:t>
      </w:r>
      <w:r>
        <w:rPr>
          <w:rFonts w:ascii="仿宋" w:eastAsia="仿宋" w:hAnsi="仿宋" w:cs="仿宋" w:hint="eastAsia"/>
          <w:sz w:val="30"/>
          <w:szCs w:val="30"/>
        </w:rPr>
        <w:t>1500</w:t>
      </w:r>
      <w:r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月，具体如下：</w:t>
      </w:r>
    </w:p>
    <w:tbl>
      <w:tblPr>
        <w:tblStyle w:val="a8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789"/>
        <w:gridCol w:w="1790"/>
        <w:gridCol w:w="1519"/>
        <w:gridCol w:w="2638"/>
      </w:tblGrid>
      <w:tr w:rsidR="00CA390D">
        <w:trPr>
          <w:trHeight w:val="450"/>
          <w:jc w:val="center"/>
        </w:trPr>
        <w:tc>
          <w:tcPr>
            <w:tcW w:w="2040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专业</w:t>
            </w:r>
          </w:p>
        </w:tc>
        <w:tc>
          <w:tcPr>
            <w:tcW w:w="1789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本科</w:t>
            </w:r>
          </w:p>
        </w:tc>
        <w:tc>
          <w:tcPr>
            <w:tcW w:w="1790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研究生</w:t>
            </w:r>
          </w:p>
        </w:tc>
        <w:tc>
          <w:tcPr>
            <w:tcW w:w="1519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博士</w:t>
            </w:r>
          </w:p>
        </w:tc>
        <w:tc>
          <w:tcPr>
            <w:tcW w:w="2638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备注</w:t>
            </w:r>
          </w:p>
        </w:tc>
      </w:tr>
      <w:tr w:rsidR="00CA390D">
        <w:trPr>
          <w:trHeight w:val="527"/>
          <w:jc w:val="center"/>
        </w:trPr>
        <w:tc>
          <w:tcPr>
            <w:tcW w:w="2040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一般专业</w:t>
            </w:r>
          </w:p>
        </w:tc>
        <w:tc>
          <w:tcPr>
            <w:tcW w:w="1789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月</w:t>
            </w:r>
          </w:p>
        </w:tc>
        <w:tc>
          <w:tcPr>
            <w:tcW w:w="1790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月</w:t>
            </w:r>
          </w:p>
        </w:tc>
        <w:tc>
          <w:tcPr>
            <w:tcW w:w="1519" w:type="dxa"/>
            <w:vMerge w:val="restart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1500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月</w:t>
            </w:r>
          </w:p>
        </w:tc>
        <w:tc>
          <w:tcPr>
            <w:tcW w:w="2638" w:type="dxa"/>
            <w:vMerge w:val="restart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艺体特长类不享受</w:t>
            </w:r>
          </w:p>
        </w:tc>
      </w:tr>
      <w:tr w:rsidR="00CA390D">
        <w:trPr>
          <w:trHeight w:val="487"/>
          <w:jc w:val="center"/>
        </w:trPr>
        <w:tc>
          <w:tcPr>
            <w:tcW w:w="2040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重点需求专业</w:t>
            </w:r>
          </w:p>
        </w:tc>
        <w:tc>
          <w:tcPr>
            <w:tcW w:w="1789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月</w:t>
            </w:r>
          </w:p>
        </w:tc>
        <w:tc>
          <w:tcPr>
            <w:tcW w:w="1790" w:type="dxa"/>
            <w:vAlign w:val="center"/>
          </w:tcPr>
          <w:p w:rsidR="00CA390D" w:rsidRDefault="00D76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月</w:t>
            </w:r>
          </w:p>
        </w:tc>
        <w:tc>
          <w:tcPr>
            <w:tcW w:w="1519" w:type="dxa"/>
            <w:vMerge/>
            <w:vAlign w:val="center"/>
          </w:tcPr>
          <w:p w:rsidR="00CA390D" w:rsidRDefault="00CA39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38" w:type="dxa"/>
            <w:vMerge/>
            <w:vAlign w:val="center"/>
          </w:tcPr>
          <w:p w:rsidR="00CA390D" w:rsidRDefault="00CA390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:rsidR="00CA390D" w:rsidRDefault="00D7638B">
      <w:pPr>
        <w:spacing w:line="560" w:lineRule="exact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（三）保障福利</w:t>
      </w:r>
    </w:p>
    <w:p w:rsidR="00CA390D" w:rsidRDefault="00D7638B">
      <w:pPr>
        <w:spacing w:line="560" w:lineRule="exact"/>
        <w:ind w:firstLineChars="200" w:firstLine="602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五险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金：</w:t>
      </w:r>
      <w:r>
        <w:rPr>
          <w:rFonts w:ascii="仿宋_GB2312" w:eastAsia="仿宋_GB2312" w:hint="eastAsia"/>
          <w:bCs/>
          <w:sz w:val="30"/>
          <w:szCs w:val="30"/>
        </w:rPr>
        <w:t>公司根据国家有关规定，在入职次月即为员工缴纳养老保险、医疗保险、失业保险、生育保险、工伤保险。转正之后为员工缴纳住房公积金。</w:t>
      </w:r>
    </w:p>
    <w:p w:rsidR="00CA390D" w:rsidRDefault="00D7638B">
      <w:pPr>
        <w:spacing w:line="560" w:lineRule="exact"/>
        <w:ind w:firstLineChars="200" w:firstLine="602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集体公寓：</w:t>
      </w:r>
      <w:r>
        <w:rPr>
          <w:rFonts w:ascii="仿宋_GB2312" w:eastAsia="仿宋_GB2312" w:hint="eastAsia"/>
          <w:bCs/>
          <w:sz w:val="30"/>
          <w:szCs w:val="30"/>
        </w:rPr>
        <w:t>公司为员工免费提供空调宿舍、浴室，并在生活区建有成本价餐厅等基础设施。</w:t>
      </w:r>
    </w:p>
    <w:p w:rsidR="00CA390D" w:rsidRDefault="00D7638B">
      <w:pPr>
        <w:spacing w:line="560" w:lineRule="exact"/>
        <w:ind w:firstLineChars="200" w:firstLine="602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健康保障：</w:t>
      </w:r>
      <w:r>
        <w:rPr>
          <w:rFonts w:ascii="仿宋_GB2312" w:eastAsia="仿宋_GB2312" w:hint="eastAsia"/>
          <w:bCs/>
          <w:sz w:val="30"/>
          <w:szCs w:val="30"/>
        </w:rPr>
        <w:t>公司每年定期为员工组织免费健康体检，发放劳保用品（工作服、洗护用品、毛巾、手套、安全帽等）。</w:t>
      </w:r>
    </w:p>
    <w:p w:rsidR="00CA390D" w:rsidRDefault="00D7638B">
      <w:pPr>
        <w:spacing w:line="560" w:lineRule="exact"/>
        <w:ind w:firstLineChars="200" w:firstLine="602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生活休闲：</w:t>
      </w:r>
      <w:r>
        <w:rPr>
          <w:rFonts w:ascii="仿宋_GB2312" w:eastAsia="仿宋_GB2312" w:hint="eastAsia"/>
          <w:bCs/>
          <w:sz w:val="30"/>
          <w:szCs w:val="30"/>
        </w:rPr>
        <w:t>公司为员工提供往返班车，生活区内建有篮球场、足球场、乒乓球台、活动室、图书室等。</w:t>
      </w:r>
    </w:p>
    <w:p w:rsidR="00CA390D" w:rsidRDefault="00D7638B">
      <w:pPr>
        <w:spacing w:line="560" w:lineRule="exact"/>
        <w:ind w:firstLineChars="200" w:firstLine="602"/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节日福利：</w:t>
      </w:r>
      <w:r>
        <w:rPr>
          <w:rFonts w:ascii="仿宋_GB2312" w:eastAsia="仿宋_GB2312" w:hint="eastAsia"/>
          <w:bCs/>
          <w:sz w:val="30"/>
          <w:szCs w:val="30"/>
        </w:rPr>
        <w:t>公司每年为员工发放妇女节、中秋节、春节福利。另外，公司还为员工提供多样化的生日福利。</w:t>
      </w:r>
    </w:p>
    <w:p w:rsidR="00CA390D" w:rsidRDefault="00D7638B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（四）休息休假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公司充分保证员工休息休假的权利，员工上班分为白班、四班三倒（上班</w:t>
      </w:r>
      <w:r>
        <w:rPr>
          <w:rFonts w:ascii="仿宋_GB2312" w:eastAsia="仿宋_GB2312" w:hint="eastAsia"/>
          <w:bCs/>
          <w:sz w:val="30"/>
          <w:szCs w:val="30"/>
        </w:rPr>
        <w:t>8</w:t>
      </w:r>
      <w:r>
        <w:rPr>
          <w:rFonts w:ascii="仿宋_GB2312" w:eastAsia="仿宋_GB2312" w:hint="eastAsia"/>
          <w:bCs/>
          <w:sz w:val="30"/>
          <w:szCs w:val="30"/>
        </w:rPr>
        <w:t>小时，休息</w:t>
      </w:r>
      <w:r>
        <w:rPr>
          <w:rFonts w:ascii="仿宋_GB2312" w:eastAsia="仿宋_GB2312" w:hint="eastAsia"/>
          <w:bCs/>
          <w:sz w:val="30"/>
          <w:szCs w:val="30"/>
        </w:rPr>
        <w:t>24</w:t>
      </w:r>
      <w:r>
        <w:rPr>
          <w:rFonts w:ascii="仿宋_GB2312" w:eastAsia="仿宋_GB2312" w:hint="eastAsia"/>
          <w:bCs/>
          <w:sz w:val="30"/>
          <w:szCs w:val="30"/>
        </w:rPr>
        <w:t>小时）等方式。入职后享受国家法定节假日，另有年休假、探亲假、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陪护假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等假期。</w:t>
      </w:r>
    </w:p>
    <w:p w:rsidR="00CA390D" w:rsidRDefault="00D7638B">
      <w:pPr>
        <w:spacing w:line="560" w:lineRule="exact"/>
        <w:ind w:firstLineChars="200" w:firstLine="60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四、招聘流程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570865</wp:posOffset>
                </wp:positionV>
                <wp:extent cx="361950" cy="635"/>
                <wp:effectExtent l="9525" t="55245" r="19050" b="584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" o:spid="_x0000_s1026" o:spt="32" type="#_x0000_t32" style="position:absolute;left:0pt;margin-left:18.85pt;margin-top:44.95pt;height:0.05pt;width:28.5pt;z-index:251656192;mso-width-relative:page;mso-height-relative:page;" filled="f" stroked="t" coordsize="21600,21600" o:gfxdata="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dcZ8tcAAAAHAQAADwAAAAAAAAABACAA&#10;AAAiAAAAZHJzL2Rvd25yZXYueG1sUEsBAhQAFAAAAAgAh07iQO2A1PjVAQAAkw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208915</wp:posOffset>
                </wp:positionV>
                <wp:extent cx="247650" cy="0"/>
                <wp:effectExtent l="9525" t="55245" r="19050" b="590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6" o:spid="_x0000_s1026" o:spt="32" type="#_x0000_t32" style="position:absolute;left:0pt;margin-left:384.1pt;margin-top:16.45pt;height:0pt;width:19.5pt;z-index:251657216;mso-width-relative:page;mso-height-relative:page;" filled="f" stroked="t" coordsize="21600,21600" o:gfxdata="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PX2VNkAAAAJAQAADwAAAAAAAAABACAA&#10;AAAiAAAAZHJzL2Rvd25yZXYueG1sUEsBAhQAFAAAAAgAh07iQEAGBt7TAQAAkQ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208915</wp:posOffset>
                </wp:positionV>
                <wp:extent cx="247650" cy="0"/>
                <wp:effectExtent l="9525" t="55245" r="19050" b="590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5" o:spid="_x0000_s1026" o:spt="32" type="#_x0000_t32" style="position:absolute;left:0pt;margin-left:302.35pt;margin-top:16.45pt;height:0pt;width:19.5pt;z-index:251658240;mso-width-relative:page;mso-height-relative:page;" filled="f" stroked="t" coordsize="21600,21600" o:gfxdata="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IMK502AAAAAkBAAAPAAAAAAAAAAEAIAAA&#10;ACIAAABkcnMvZG93bnJldi54bWxQSwECFAAUAAAACACHTuJA14AI/NMBAACR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227965</wp:posOffset>
                </wp:positionV>
                <wp:extent cx="247650" cy="0"/>
                <wp:effectExtent l="9525" t="55245" r="19050" b="590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4" o:spid="_x0000_s1026" o:spt="32" type="#_x0000_t32" style="position:absolute;left:0pt;margin-left:218.35pt;margin-top:17.95pt;height:0pt;width:19.5pt;z-index:251658240;mso-width-relative:page;mso-height-relative:page;" filled="f" stroked="t" coordsize="21600,21600" o:gfxdata="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LBYt9kAAAAJAQAADwAAAAAAAAABACAA&#10;AAAiAAAAZHJzL2Rvd25yZXYueG1sUEsBAhQAFAAAAAgAh07iQChfcYnTAQAAkQ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208915</wp:posOffset>
                </wp:positionV>
                <wp:extent cx="247650" cy="0"/>
                <wp:effectExtent l="9525" t="55245" r="19050" b="590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3" o:spid="_x0000_s1026" o:spt="32" type="#_x0000_t32" style="position:absolute;left:0pt;margin-left:136.6pt;margin-top:16.45pt;height:0pt;width:19.5pt;z-index:251659264;mso-width-relative:page;mso-height-relative:page;" filled="f" stroked="t" coordsize="21600,21600" o:gfxdata="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ikwH2AAAAAkBAAAPAAAAAAAAAAEAIAAA&#10;ACIAAABkcnMvZG93bnJldi54bWxQSwECFAAUAAAACACHTuJAAqDppdMBAACR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int="eastAsia"/>
          <w:bCs/>
          <w:sz w:val="30"/>
          <w:szCs w:val="30"/>
        </w:rPr>
        <w:t>参加招聘宣讲会</w:t>
      </w:r>
      <w:r>
        <w:rPr>
          <w:rFonts w:ascii="仿宋_GB2312" w:eastAsia="仿宋_GB2312" w:hint="eastAsia"/>
          <w:bCs/>
          <w:sz w:val="30"/>
          <w:szCs w:val="30"/>
        </w:rPr>
        <w:t xml:space="preserve">   </w:t>
      </w:r>
      <w:r>
        <w:rPr>
          <w:rFonts w:ascii="仿宋_GB2312" w:eastAsia="仿宋_GB2312" w:hint="eastAsia"/>
          <w:bCs/>
          <w:sz w:val="30"/>
          <w:szCs w:val="30"/>
        </w:rPr>
        <w:t>投递简历</w:t>
      </w:r>
      <w:r>
        <w:rPr>
          <w:rFonts w:ascii="仿宋_GB2312" w:eastAsia="仿宋_GB2312" w:hint="eastAsia"/>
          <w:bCs/>
          <w:sz w:val="30"/>
          <w:szCs w:val="30"/>
        </w:rPr>
        <w:t xml:space="preserve">   </w:t>
      </w:r>
      <w:r>
        <w:rPr>
          <w:rFonts w:ascii="仿宋_GB2312" w:eastAsia="仿宋_GB2312" w:hint="eastAsia"/>
          <w:bCs/>
          <w:sz w:val="30"/>
          <w:szCs w:val="30"/>
        </w:rPr>
        <w:t>简历筛选</w:t>
      </w:r>
      <w:r>
        <w:rPr>
          <w:rFonts w:ascii="仿宋_GB2312" w:eastAsia="仿宋_GB2312" w:hint="eastAsia"/>
          <w:bCs/>
          <w:sz w:val="30"/>
          <w:szCs w:val="30"/>
        </w:rPr>
        <w:t xml:space="preserve">   </w:t>
      </w:r>
      <w:r>
        <w:rPr>
          <w:rFonts w:ascii="仿宋_GB2312" w:eastAsia="仿宋_GB2312"/>
          <w:bCs/>
          <w:sz w:val="30"/>
          <w:szCs w:val="30"/>
        </w:rPr>
        <w:t>通知面试</w:t>
      </w:r>
      <w:r>
        <w:rPr>
          <w:rFonts w:ascii="仿宋_GB2312" w:eastAsia="仿宋_GB2312" w:hint="eastAsia"/>
          <w:bCs/>
          <w:sz w:val="30"/>
          <w:szCs w:val="30"/>
        </w:rPr>
        <w:t xml:space="preserve">  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ascii="仿宋_GB2312" w:eastAsia="仿宋_GB2312" w:hint="eastAsia"/>
          <w:bCs/>
          <w:sz w:val="30"/>
          <w:szCs w:val="30"/>
        </w:rPr>
        <w:t>通知录用</w:t>
      </w:r>
      <w:r>
        <w:rPr>
          <w:rFonts w:ascii="仿宋_GB2312" w:eastAsia="仿宋_GB2312" w:hint="eastAsia"/>
          <w:bCs/>
          <w:sz w:val="30"/>
          <w:szCs w:val="30"/>
        </w:rPr>
        <w:t xml:space="preserve">     </w:t>
      </w:r>
      <w:r>
        <w:rPr>
          <w:rFonts w:ascii="仿宋_GB2312" w:eastAsia="仿宋_GB2312" w:hint="eastAsia"/>
          <w:bCs/>
          <w:sz w:val="30"/>
          <w:szCs w:val="30"/>
        </w:rPr>
        <w:t>签订协议。</w:t>
      </w:r>
    </w:p>
    <w:p w:rsidR="00CA390D" w:rsidRDefault="00D7638B">
      <w:pPr>
        <w:spacing w:line="560" w:lineRule="exact"/>
        <w:ind w:firstLineChars="200" w:firstLine="60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五、联系方式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（一）公司官网：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www.china-fuhai.com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（二）联系电话：</w:t>
      </w:r>
      <w:r w:rsidR="000B2F71">
        <w:rPr>
          <w:rFonts w:ascii="仿宋_GB2312" w:eastAsia="仿宋_GB2312" w:hAnsi="仿宋_GB2312" w:cs="仿宋_GB2312" w:hint="eastAsia"/>
          <w:bCs/>
          <w:sz w:val="30"/>
          <w:szCs w:val="30"/>
        </w:rPr>
        <w:t>张经理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0546-</w:t>
      </w:r>
      <w:r w:rsidR="000B2F71">
        <w:rPr>
          <w:rFonts w:ascii="仿宋_GB2312" w:eastAsia="仿宋_GB2312" w:hAnsi="仿宋_GB2312" w:cs="仿宋_GB2312" w:hint="eastAsia"/>
          <w:bCs/>
          <w:sz w:val="30"/>
          <w:szCs w:val="30"/>
        </w:rPr>
        <w:t>6092566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 w:rsidR="000B2F71">
        <w:rPr>
          <w:rFonts w:ascii="仿宋_GB2312" w:eastAsia="仿宋_GB2312" w:hAnsi="仿宋_GB2312" w:cs="仿宋_GB2312" w:hint="eastAsia"/>
          <w:bCs/>
          <w:sz w:val="30"/>
          <w:szCs w:val="30"/>
        </w:rPr>
        <w:t>17862801560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（三）联系地址：山东省东营市河口区黄河路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37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号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</w:p>
    <w:p w:rsidR="00CA390D" w:rsidRDefault="00D7638B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（四）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：富海招聘</w:t>
      </w:r>
    </w:p>
    <w:p w:rsidR="00CA390D" w:rsidRDefault="00CA390D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CA390D" w:rsidRDefault="00CA390D">
      <w:pPr>
        <w:spacing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CA390D" w:rsidRDefault="00CA390D">
      <w:pPr>
        <w:spacing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  <w:bookmarkStart w:id="0" w:name="_GoBack"/>
      <w:bookmarkEnd w:id="0"/>
    </w:p>
    <w:p w:rsidR="00CA390D" w:rsidRDefault="00D7638B">
      <w:pPr>
        <w:spacing w:line="560" w:lineRule="exact"/>
        <w:ind w:firstLineChars="1500" w:firstLine="45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二</w:t>
      </w:r>
      <w:r>
        <w:rPr>
          <w:rFonts w:ascii="宋体" w:hAnsi="宋体" w:cs="宋体" w:hint="eastAsia"/>
          <w:bCs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八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三月</w:t>
      </w:r>
      <w:r w:rsidR="000B2F71">
        <w:rPr>
          <w:rFonts w:ascii="仿宋_GB2312" w:eastAsia="仿宋_GB2312" w:hAnsi="仿宋_GB2312" w:cs="仿宋_GB2312" w:hint="eastAsia"/>
          <w:bCs/>
          <w:sz w:val="30"/>
          <w:szCs w:val="30"/>
        </w:rPr>
        <w:t>二十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日</w:t>
      </w:r>
    </w:p>
    <w:p w:rsidR="00CA390D" w:rsidRDefault="00CA390D">
      <w:pPr>
        <w:spacing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</w:p>
    <w:sectPr w:rsidR="00CA390D">
      <w:headerReference w:type="default" r:id="rId8"/>
      <w:pgSz w:w="12240" w:h="15840"/>
      <w:pgMar w:top="1701" w:right="1588" w:bottom="1701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8B" w:rsidRDefault="00D7638B">
      <w:r>
        <w:separator/>
      </w:r>
    </w:p>
  </w:endnote>
  <w:endnote w:type="continuationSeparator" w:id="0">
    <w:p w:rsidR="00D7638B" w:rsidRDefault="00D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8B" w:rsidRDefault="00D7638B">
      <w:r>
        <w:separator/>
      </w:r>
    </w:p>
  </w:footnote>
  <w:footnote w:type="continuationSeparator" w:id="0">
    <w:p w:rsidR="00D7638B" w:rsidRDefault="00D76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0D" w:rsidRDefault="00CA39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2"/>
    <w:rsid w:val="00020A83"/>
    <w:rsid w:val="00061925"/>
    <w:rsid w:val="000B2F71"/>
    <w:rsid w:val="001169A2"/>
    <w:rsid w:val="00117AF9"/>
    <w:rsid w:val="001613F3"/>
    <w:rsid w:val="001A1743"/>
    <w:rsid w:val="001C238F"/>
    <w:rsid w:val="001E2207"/>
    <w:rsid w:val="002162FA"/>
    <w:rsid w:val="00264DDE"/>
    <w:rsid w:val="002926A9"/>
    <w:rsid w:val="002B5C6D"/>
    <w:rsid w:val="002E111D"/>
    <w:rsid w:val="003113AD"/>
    <w:rsid w:val="003251E5"/>
    <w:rsid w:val="00346E1E"/>
    <w:rsid w:val="00370665"/>
    <w:rsid w:val="00375AC1"/>
    <w:rsid w:val="003C3EC3"/>
    <w:rsid w:val="004049FB"/>
    <w:rsid w:val="0040610A"/>
    <w:rsid w:val="00411F2F"/>
    <w:rsid w:val="00414E08"/>
    <w:rsid w:val="00434912"/>
    <w:rsid w:val="00453C95"/>
    <w:rsid w:val="00467620"/>
    <w:rsid w:val="00490837"/>
    <w:rsid w:val="004A268A"/>
    <w:rsid w:val="004C3C9B"/>
    <w:rsid w:val="005739F7"/>
    <w:rsid w:val="005C1FF8"/>
    <w:rsid w:val="005C3D2D"/>
    <w:rsid w:val="005D0FBE"/>
    <w:rsid w:val="005E45CB"/>
    <w:rsid w:val="006262F2"/>
    <w:rsid w:val="00671508"/>
    <w:rsid w:val="006915E7"/>
    <w:rsid w:val="006C2872"/>
    <w:rsid w:val="00703EC2"/>
    <w:rsid w:val="00740A8A"/>
    <w:rsid w:val="00760E4C"/>
    <w:rsid w:val="00766DB9"/>
    <w:rsid w:val="00787FA4"/>
    <w:rsid w:val="007C4563"/>
    <w:rsid w:val="007D1FBD"/>
    <w:rsid w:val="007E2F9F"/>
    <w:rsid w:val="0081487D"/>
    <w:rsid w:val="00827088"/>
    <w:rsid w:val="0084491F"/>
    <w:rsid w:val="008923AE"/>
    <w:rsid w:val="008C020C"/>
    <w:rsid w:val="008D2918"/>
    <w:rsid w:val="008D53E3"/>
    <w:rsid w:val="008F52F4"/>
    <w:rsid w:val="00925179"/>
    <w:rsid w:val="00935FBD"/>
    <w:rsid w:val="00952464"/>
    <w:rsid w:val="00953D68"/>
    <w:rsid w:val="0099128E"/>
    <w:rsid w:val="009C5C64"/>
    <w:rsid w:val="009E360D"/>
    <w:rsid w:val="009E666D"/>
    <w:rsid w:val="00A21995"/>
    <w:rsid w:val="00A367E6"/>
    <w:rsid w:val="00A54ED4"/>
    <w:rsid w:val="00A94068"/>
    <w:rsid w:val="00AE4746"/>
    <w:rsid w:val="00B36BB3"/>
    <w:rsid w:val="00B67AC9"/>
    <w:rsid w:val="00B76BB0"/>
    <w:rsid w:val="00B81762"/>
    <w:rsid w:val="00BA5FD3"/>
    <w:rsid w:val="00BC52AD"/>
    <w:rsid w:val="00C352B5"/>
    <w:rsid w:val="00C67EDF"/>
    <w:rsid w:val="00C846CA"/>
    <w:rsid w:val="00CA390D"/>
    <w:rsid w:val="00CA79CD"/>
    <w:rsid w:val="00CE5C49"/>
    <w:rsid w:val="00D00EC7"/>
    <w:rsid w:val="00D11170"/>
    <w:rsid w:val="00D40ADF"/>
    <w:rsid w:val="00D7638B"/>
    <w:rsid w:val="00D84EB1"/>
    <w:rsid w:val="00DC67AF"/>
    <w:rsid w:val="00DE6A69"/>
    <w:rsid w:val="00E06511"/>
    <w:rsid w:val="00E14BEF"/>
    <w:rsid w:val="00E2532E"/>
    <w:rsid w:val="00E30627"/>
    <w:rsid w:val="00E31285"/>
    <w:rsid w:val="00E63BA5"/>
    <w:rsid w:val="00E84694"/>
    <w:rsid w:val="00E877D8"/>
    <w:rsid w:val="00E90183"/>
    <w:rsid w:val="00EB39F3"/>
    <w:rsid w:val="00F06E0B"/>
    <w:rsid w:val="00F114A7"/>
    <w:rsid w:val="00F53145"/>
    <w:rsid w:val="00F8157C"/>
    <w:rsid w:val="00F97F26"/>
    <w:rsid w:val="00FA17D6"/>
    <w:rsid w:val="00FA33F3"/>
    <w:rsid w:val="00FB3A13"/>
    <w:rsid w:val="00FC484F"/>
    <w:rsid w:val="00FD508D"/>
    <w:rsid w:val="00FE46A5"/>
    <w:rsid w:val="00FE530D"/>
    <w:rsid w:val="170F5112"/>
    <w:rsid w:val="19E53EA8"/>
    <w:rsid w:val="1D525BAD"/>
    <w:rsid w:val="1DEE4D97"/>
    <w:rsid w:val="20A21E50"/>
    <w:rsid w:val="248E3548"/>
    <w:rsid w:val="2E8D1575"/>
    <w:rsid w:val="2EA32F01"/>
    <w:rsid w:val="318F07F0"/>
    <w:rsid w:val="34FB6E32"/>
    <w:rsid w:val="396645EF"/>
    <w:rsid w:val="3E850BAA"/>
    <w:rsid w:val="44C70530"/>
    <w:rsid w:val="45FA6268"/>
    <w:rsid w:val="46123578"/>
    <w:rsid w:val="47387803"/>
    <w:rsid w:val="533D5655"/>
    <w:rsid w:val="594E20D7"/>
    <w:rsid w:val="5A4833F5"/>
    <w:rsid w:val="5B3B2837"/>
    <w:rsid w:val="5EE91EA9"/>
    <w:rsid w:val="61764AF2"/>
    <w:rsid w:val="68CD283F"/>
    <w:rsid w:val="695778DB"/>
    <w:rsid w:val="6996526D"/>
    <w:rsid w:val="6FBA187B"/>
    <w:rsid w:val="7A512548"/>
    <w:rsid w:val="7C8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uiPriority w:val="99"/>
    <w:unhideWhenUsed/>
    <w:qFormat/>
    <w:rPr>
      <w:color w:val="0066CC"/>
      <w:u w:val="single"/>
    </w:rPr>
  </w:style>
  <w:style w:type="character" w:styleId="a7">
    <w:name w:val="Hyperlink"/>
    <w:uiPriority w:val="99"/>
    <w:unhideWhenUsed/>
    <w:qFormat/>
    <w:rPr>
      <w:color w:val="0066CC"/>
      <w:u w:val="single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rec-status-desc">
    <w:name w:val="rec-status-desc"/>
    <w:basedOn w:val="a0"/>
    <w:qFormat/>
  </w:style>
  <w:style w:type="character" w:customStyle="1" w:styleId="rec-volume">
    <w:name w:val="rec-volume"/>
    <w:basedOn w:val="a0"/>
    <w:qFormat/>
  </w:style>
  <w:style w:type="character" w:customStyle="1" w:styleId="rec-time">
    <w:name w:val="rec-tim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uiPriority w:val="99"/>
    <w:unhideWhenUsed/>
    <w:qFormat/>
    <w:rPr>
      <w:color w:val="0066CC"/>
      <w:u w:val="single"/>
    </w:rPr>
  </w:style>
  <w:style w:type="character" w:styleId="a7">
    <w:name w:val="Hyperlink"/>
    <w:uiPriority w:val="99"/>
    <w:unhideWhenUsed/>
    <w:qFormat/>
    <w:rPr>
      <w:color w:val="0066CC"/>
      <w:u w:val="single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rec-status-desc">
    <w:name w:val="rec-status-desc"/>
    <w:basedOn w:val="a0"/>
    <w:qFormat/>
  </w:style>
  <w:style w:type="character" w:customStyle="1" w:styleId="rec-volume">
    <w:name w:val="rec-volume"/>
    <w:basedOn w:val="a0"/>
    <w:qFormat/>
  </w:style>
  <w:style w:type="character" w:customStyle="1" w:styleId="rec-time">
    <w:name w:val="rec-ti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QXX</cp:lastModifiedBy>
  <cp:revision>5</cp:revision>
  <cp:lastPrinted>2016-10-10T08:03:00Z</cp:lastPrinted>
  <dcterms:created xsi:type="dcterms:W3CDTF">2017-09-22T06:42:00Z</dcterms:created>
  <dcterms:modified xsi:type="dcterms:W3CDTF">2018-03-20T05:50:00Z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